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Helvetica" w:hAnsi="Helvetica" w:cs="Helvetica"/>
          <w:highlight w:val="yellow"/>
        </w:rPr>
        <w:id w:val="-871918763"/>
        <w:placeholder>
          <w:docPart w:val="0ABD95B0D38B4E52822E25D3D7BB0648"/>
        </w:placeholder>
      </w:sdtPr>
      <w:sdtEndPr>
        <w:rPr>
          <w:highlight w:val="none"/>
        </w:rPr>
      </w:sdtEndPr>
      <w:sdtContent>
        <w:p w14:paraId="653D4AD0" w14:textId="77777777" w:rsidR="001E4FBD" w:rsidRDefault="001E4FBD" w:rsidP="001E4FBD">
          <w:pPr>
            <w:autoSpaceDE w:val="0"/>
            <w:autoSpaceDN w:val="0"/>
            <w:adjustRightInd w:val="0"/>
            <w:rPr>
              <w:rFonts w:ascii="Helvetica" w:hAnsi="Helvetica" w:cs="Helvetica"/>
            </w:rPr>
          </w:pPr>
          <w:r w:rsidRPr="008A54FE">
            <w:rPr>
              <w:rFonts w:ascii="Helvetica" w:hAnsi="Helvetica" w:cs="Helvetica"/>
              <w:highlight w:val="yellow"/>
            </w:rPr>
            <w:t>Öffentlicher Auftraggeber</w:t>
          </w:r>
        </w:p>
      </w:sdtContent>
    </w:sdt>
    <w:p w14:paraId="7B6C096A" w14:textId="77777777" w:rsidR="001E4FBD" w:rsidRDefault="001E4FBD" w:rsidP="001E4FB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Vergabenummer: </w:t>
      </w:r>
      <w:sdt>
        <w:sdtPr>
          <w:rPr>
            <w:rFonts w:ascii="Arial" w:hAnsi="Arial" w:cs="Arial"/>
            <w:b/>
            <w:bCs/>
            <w:highlight w:val="yellow"/>
          </w:rPr>
          <w:id w:val="1601752166"/>
          <w:placeholder>
            <w:docPart w:val="0ABD95B0D38B4E52822E25D3D7BB0648"/>
          </w:placeholder>
        </w:sdtPr>
        <w:sdtEndPr/>
        <w:sdtContent>
          <w:r w:rsidRPr="008E2E6A">
            <w:rPr>
              <w:rFonts w:ascii="Arial" w:hAnsi="Arial" w:cs="Arial"/>
              <w:bCs/>
              <w:highlight w:val="yellow"/>
            </w:rPr>
            <w:t>Vergabenummer eingeben!</w:t>
          </w:r>
        </w:sdtContent>
      </w:sdt>
    </w:p>
    <w:p w14:paraId="183C1BEA" w14:textId="77777777" w:rsidR="001E4FBD" w:rsidRDefault="001E4FBD" w:rsidP="00BF30AA">
      <w:pPr>
        <w:spacing w:after="240" w:line="360" w:lineRule="exact"/>
        <w:jc w:val="center"/>
        <w:rPr>
          <w:rFonts w:ascii="Arial" w:hAnsi="Arial" w:cs="Arial"/>
          <w:b/>
          <w:bCs/>
        </w:rPr>
      </w:pPr>
    </w:p>
    <w:p w14:paraId="24BCC671" w14:textId="0A4F1DEF" w:rsidR="00984150" w:rsidRPr="005709A5" w:rsidRDefault="00984150" w:rsidP="00BF30AA">
      <w:pPr>
        <w:spacing w:after="240" w:line="360" w:lineRule="exact"/>
        <w:jc w:val="center"/>
        <w:rPr>
          <w:rFonts w:ascii="Arial" w:hAnsi="Arial" w:cs="Arial"/>
          <w:b/>
          <w:bCs/>
        </w:rPr>
      </w:pPr>
      <w:r w:rsidRPr="005709A5">
        <w:rPr>
          <w:rFonts w:ascii="Arial" w:hAnsi="Arial" w:cs="Arial"/>
          <w:b/>
          <w:bCs/>
        </w:rPr>
        <w:t xml:space="preserve">Anwendungshinweise </w:t>
      </w:r>
      <w:r w:rsidR="005709A5" w:rsidRPr="005709A5">
        <w:rPr>
          <w:rFonts w:ascii="Arial" w:hAnsi="Arial" w:cs="Arial"/>
          <w:b/>
          <w:bCs/>
        </w:rPr>
        <w:br/>
      </w:r>
      <w:r w:rsidRPr="005709A5">
        <w:rPr>
          <w:rFonts w:ascii="Arial" w:hAnsi="Arial" w:cs="Arial"/>
          <w:b/>
          <w:bCs/>
        </w:rPr>
        <w:t xml:space="preserve">zur Vertragsklausel für die Abrechnung von </w:t>
      </w:r>
      <w:r w:rsidR="00396C6E" w:rsidRPr="005709A5">
        <w:rPr>
          <w:rFonts w:ascii="Arial" w:hAnsi="Arial" w:cs="Arial"/>
          <w:b/>
          <w:bCs/>
        </w:rPr>
        <w:t>Betriebsstoffen</w:t>
      </w:r>
    </w:p>
    <w:p w14:paraId="79159D09" w14:textId="77777777" w:rsidR="00984150" w:rsidRPr="005709A5" w:rsidRDefault="00F739FF" w:rsidP="006B35C3">
      <w:pPr>
        <w:pStyle w:val="berschrift1"/>
        <w:numPr>
          <w:ilvl w:val="0"/>
          <w:numId w:val="1"/>
        </w:numPr>
        <w:spacing w:before="0" w:after="120" w:line="360" w:lineRule="exact"/>
        <w:ind w:left="425" w:hanging="425"/>
      </w:pPr>
      <w:r>
        <w:t>Ausgangslage und Begründung für eine Vertragsklausel für Betriebsstoffe</w:t>
      </w:r>
      <w:r w:rsidR="00984150" w:rsidRPr="005709A5">
        <w:t xml:space="preserve"> </w:t>
      </w:r>
    </w:p>
    <w:p w14:paraId="4D36671E" w14:textId="4538B452" w:rsidR="00984150" w:rsidRPr="005709A5" w:rsidRDefault="00984150" w:rsidP="00BF30AA">
      <w:pPr>
        <w:pStyle w:val="Default"/>
        <w:spacing w:after="240" w:line="360" w:lineRule="exact"/>
        <w:jc w:val="both"/>
        <w:rPr>
          <w:rFonts w:ascii="Arial" w:hAnsi="Arial" w:cs="Arial"/>
        </w:rPr>
      </w:pPr>
      <w:r w:rsidRPr="005709A5">
        <w:rPr>
          <w:rFonts w:ascii="Arial" w:hAnsi="Arial" w:cs="Arial"/>
        </w:rPr>
        <w:t xml:space="preserve">Die Entwicklung im Bereich der Material- und Energiekosten </w:t>
      </w:r>
      <w:r w:rsidR="00A32F3B" w:rsidRPr="005709A5">
        <w:rPr>
          <w:rFonts w:ascii="Arial" w:hAnsi="Arial" w:cs="Arial"/>
        </w:rPr>
        <w:t xml:space="preserve">lässt </w:t>
      </w:r>
      <w:r w:rsidR="005709A5">
        <w:rPr>
          <w:rFonts w:ascii="Arial" w:hAnsi="Arial" w:cs="Arial"/>
        </w:rPr>
        <w:t>als Folge</w:t>
      </w:r>
      <w:r w:rsidRPr="005709A5">
        <w:rPr>
          <w:rFonts w:ascii="Arial" w:hAnsi="Arial" w:cs="Arial"/>
        </w:rPr>
        <w:t xml:space="preserve"> der Ukraine-Krise eine verlässliche Preisbildung für die </w:t>
      </w:r>
      <w:r w:rsidR="005709A5">
        <w:rPr>
          <w:rFonts w:ascii="Arial" w:hAnsi="Arial" w:cs="Arial"/>
        </w:rPr>
        <w:t>Unternehmen</w:t>
      </w:r>
      <w:r w:rsidRPr="005709A5">
        <w:rPr>
          <w:rFonts w:ascii="Arial" w:hAnsi="Arial" w:cs="Arial"/>
        </w:rPr>
        <w:t xml:space="preserve"> kaum noch zu. Nach de</w:t>
      </w:r>
      <w:r w:rsidR="009438E9">
        <w:rPr>
          <w:rFonts w:ascii="Arial" w:hAnsi="Arial" w:cs="Arial"/>
        </w:rPr>
        <w:t>n Rundschreiben des Bundesministeriums für Wohnen, Stadtentwicklung und Bauen</w:t>
      </w:r>
      <w:r w:rsidR="007274D7">
        <w:rPr>
          <w:rFonts w:ascii="Arial" w:hAnsi="Arial" w:cs="Arial"/>
        </w:rPr>
        <w:t xml:space="preserve"> (BMWSB) </w:t>
      </w:r>
      <w:r w:rsidR="009438E9">
        <w:rPr>
          <w:rFonts w:ascii="Arial" w:hAnsi="Arial" w:cs="Arial"/>
        </w:rPr>
        <w:t>– BWI7</w:t>
      </w:r>
      <w:r w:rsidR="00A95E7D">
        <w:rPr>
          <w:rFonts w:ascii="Arial" w:hAnsi="Arial" w:cs="Arial"/>
        </w:rPr>
        <w:t xml:space="preserve"> – </w:t>
      </w:r>
      <w:r w:rsidR="009438E9">
        <w:rPr>
          <w:rFonts w:ascii="Arial" w:hAnsi="Arial" w:cs="Arial"/>
        </w:rPr>
        <w:t>70437</w:t>
      </w:r>
      <w:r w:rsidR="00A95E7D">
        <w:rPr>
          <w:rFonts w:ascii="Arial" w:hAnsi="Arial" w:cs="Arial"/>
        </w:rPr>
        <w:t>/9#4 – und des B</w:t>
      </w:r>
      <w:r w:rsidR="00D36E53">
        <w:rPr>
          <w:rFonts w:ascii="Arial" w:hAnsi="Arial" w:cs="Arial"/>
        </w:rPr>
        <w:t xml:space="preserve">undesministeriums für Digitales und Verkehr – StB 14/7134.2/005/3655805 – </w:t>
      </w:r>
      <w:r w:rsidR="00A95E7D">
        <w:rPr>
          <w:rFonts w:ascii="Arial" w:hAnsi="Arial" w:cs="Arial"/>
        </w:rPr>
        <w:t xml:space="preserve">vom 25.03.2022 </w:t>
      </w:r>
      <w:r w:rsidR="006C34AE">
        <w:rPr>
          <w:rFonts w:ascii="Arial" w:hAnsi="Arial" w:cs="Arial"/>
        </w:rPr>
        <w:t xml:space="preserve">und 22.06.2022 </w:t>
      </w:r>
      <w:r w:rsidRPr="005709A5">
        <w:rPr>
          <w:rFonts w:ascii="Arial" w:hAnsi="Arial" w:cs="Arial"/>
        </w:rPr>
        <w:t xml:space="preserve">kann </w:t>
      </w:r>
      <w:r w:rsidR="002F28A3" w:rsidRPr="005709A5">
        <w:rPr>
          <w:rFonts w:ascii="Arial" w:hAnsi="Arial" w:cs="Arial"/>
        </w:rPr>
        <w:t xml:space="preserve">bei </w:t>
      </w:r>
      <w:r w:rsidR="00C24506">
        <w:rPr>
          <w:rFonts w:ascii="Arial" w:hAnsi="Arial" w:cs="Arial"/>
        </w:rPr>
        <w:t>Vergabeverfahren über</w:t>
      </w:r>
      <w:r w:rsidR="002F28A3" w:rsidRPr="005709A5">
        <w:rPr>
          <w:rFonts w:ascii="Arial" w:hAnsi="Arial" w:cs="Arial"/>
        </w:rPr>
        <w:t xml:space="preserve"> Bauleistungen </w:t>
      </w:r>
      <w:r w:rsidRPr="005709A5">
        <w:rPr>
          <w:rFonts w:ascii="Arial" w:hAnsi="Arial" w:cs="Arial"/>
        </w:rPr>
        <w:t xml:space="preserve">auch für </w:t>
      </w:r>
      <w:r w:rsidR="00396C6E" w:rsidRPr="005709A5">
        <w:rPr>
          <w:rFonts w:ascii="Arial" w:hAnsi="Arial" w:cs="Arial"/>
        </w:rPr>
        <w:t>Betriebsstoffe</w:t>
      </w:r>
      <w:r w:rsidRPr="005709A5">
        <w:rPr>
          <w:rFonts w:ascii="Arial" w:hAnsi="Arial" w:cs="Arial"/>
        </w:rPr>
        <w:t xml:space="preserve"> eine Preisgleitung vereinbart werden</w:t>
      </w:r>
      <w:r w:rsidR="002F28A3" w:rsidRPr="005709A5">
        <w:rPr>
          <w:rFonts w:ascii="Arial" w:hAnsi="Arial" w:cs="Arial"/>
        </w:rPr>
        <w:t xml:space="preserve">, um </w:t>
      </w:r>
      <w:r w:rsidR="00F739FF">
        <w:rPr>
          <w:rFonts w:ascii="Arial" w:hAnsi="Arial" w:cs="Arial"/>
        </w:rPr>
        <w:t>das Aufbürden</w:t>
      </w:r>
      <w:r w:rsidRPr="005709A5">
        <w:rPr>
          <w:rFonts w:ascii="Arial" w:hAnsi="Arial" w:cs="Arial"/>
        </w:rPr>
        <w:t xml:space="preserve"> eines </w:t>
      </w:r>
      <w:r w:rsidR="002F28A3" w:rsidRPr="005709A5">
        <w:rPr>
          <w:rFonts w:ascii="Arial" w:hAnsi="Arial" w:cs="Arial"/>
        </w:rPr>
        <w:t>„</w:t>
      </w:r>
      <w:r w:rsidRPr="005709A5">
        <w:rPr>
          <w:rFonts w:ascii="Arial" w:hAnsi="Arial" w:cs="Arial"/>
        </w:rPr>
        <w:t>ungewöhnlichen Wagnisses</w:t>
      </w:r>
      <w:r w:rsidR="002F28A3" w:rsidRPr="005709A5">
        <w:rPr>
          <w:rFonts w:ascii="Arial" w:hAnsi="Arial" w:cs="Arial"/>
        </w:rPr>
        <w:t>“</w:t>
      </w:r>
      <w:r w:rsidRPr="005709A5">
        <w:rPr>
          <w:rFonts w:ascii="Arial" w:hAnsi="Arial" w:cs="Arial"/>
        </w:rPr>
        <w:t xml:space="preserve"> </w:t>
      </w:r>
      <w:r w:rsidR="002F28A3" w:rsidRPr="005709A5">
        <w:rPr>
          <w:rFonts w:ascii="Arial" w:hAnsi="Arial" w:cs="Arial"/>
        </w:rPr>
        <w:t xml:space="preserve">im Sinne von § 7 Abs. 1 Nr. 3 VOB/A </w:t>
      </w:r>
      <w:r w:rsidRPr="005709A5">
        <w:rPr>
          <w:rFonts w:ascii="Arial" w:hAnsi="Arial" w:cs="Arial"/>
        </w:rPr>
        <w:t xml:space="preserve">auf die </w:t>
      </w:r>
      <w:r w:rsidR="00BF30AA">
        <w:rPr>
          <w:rFonts w:ascii="Arial" w:hAnsi="Arial" w:cs="Arial"/>
        </w:rPr>
        <w:t>Unternehmen</w:t>
      </w:r>
      <w:r w:rsidRPr="005709A5">
        <w:rPr>
          <w:rFonts w:ascii="Arial" w:hAnsi="Arial" w:cs="Arial"/>
        </w:rPr>
        <w:t xml:space="preserve"> zu vermeiden</w:t>
      </w:r>
      <w:r w:rsidR="002F28A3" w:rsidRPr="005709A5">
        <w:rPr>
          <w:rFonts w:ascii="Arial" w:hAnsi="Arial" w:cs="Arial"/>
        </w:rPr>
        <w:t xml:space="preserve">. Auch </w:t>
      </w:r>
      <w:r w:rsidR="00F739FF">
        <w:rPr>
          <w:rFonts w:ascii="Arial" w:hAnsi="Arial" w:cs="Arial"/>
        </w:rPr>
        <w:t>bei</w:t>
      </w:r>
      <w:r w:rsidR="002F28A3" w:rsidRPr="005709A5">
        <w:rPr>
          <w:rFonts w:ascii="Arial" w:hAnsi="Arial" w:cs="Arial"/>
        </w:rPr>
        <w:t xml:space="preserve"> Liefer- und Dienstleistungen mit hohen Kostenanteilen für Betriebsstoffe sollen die unkalkulierbaren Kostenentwicklungen für die Auftragnehmer abgefedert und damit die Möglichkeiten zur Beteiligung am Wettbewerb fair gestaltet werden.</w:t>
      </w:r>
    </w:p>
    <w:p w14:paraId="3B1EC5B0" w14:textId="77777777" w:rsidR="00984150" w:rsidRPr="005709A5" w:rsidRDefault="00984150" w:rsidP="007274D7">
      <w:pPr>
        <w:pStyle w:val="berschrift1"/>
        <w:numPr>
          <w:ilvl w:val="0"/>
          <w:numId w:val="1"/>
        </w:numPr>
        <w:spacing w:before="0" w:after="120" w:line="360" w:lineRule="exact"/>
        <w:ind w:left="425" w:hanging="425"/>
      </w:pPr>
      <w:r w:rsidRPr="005709A5">
        <w:t xml:space="preserve">Einfache Handhabung durch </w:t>
      </w:r>
      <w:r w:rsidR="007274D7">
        <w:t>Pauschalierung</w:t>
      </w:r>
    </w:p>
    <w:p w14:paraId="2692B7F9" w14:textId="77777777" w:rsidR="00984150" w:rsidRPr="005709A5" w:rsidRDefault="007274D7" w:rsidP="00BF30AA">
      <w:pPr>
        <w:spacing w:after="24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Erfahrungsgemäß können die</w:t>
      </w:r>
      <w:r w:rsidR="00984150" w:rsidRPr="005709A5">
        <w:rPr>
          <w:rFonts w:ascii="Arial" w:hAnsi="Arial" w:cs="Arial"/>
        </w:rPr>
        <w:t xml:space="preserve"> Vergabestellen </w:t>
      </w:r>
      <w:r>
        <w:rPr>
          <w:rFonts w:ascii="Arial" w:hAnsi="Arial" w:cs="Arial"/>
        </w:rPr>
        <w:t>d</w:t>
      </w:r>
      <w:r w:rsidR="00984150" w:rsidRPr="005709A5">
        <w:rPr>
          <w:rFonts w:ascii="Arial" w:hAnsi="Arial" w:cs="Arial"/>
        </w:rPr>
        <w:t xml:space="preserve">en konkreten Bedarf an </w:t>
      </w:r>
      <w:r w:rsidR="00396C6E" w:rsidRPr="005709A5">
        <w:rPr>
          <w:rFonts w:ascii="Arial" w:hAnsi="Arial" w:cs="Arial"/>
        </w:rPr>
        <w:t>Betriebsstoffen</w:t>
      </w:r>
      <w:r w:rsidR="00D51C2B">
        <w:rPr>
          <w:rFonts w:ascii="Arial" w:hAnsi="Arial" w:cs="Arial"/>
        </w:rPr>
        <w:t xml:space="preserve"> nur sehr ungenau ermitteln</w:t>
      </w:r>
      <w:r w:rsidR="00984150" w:rsidRPr="005709A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Hinzu kommt</w:t>
      </w:r>
      <w:r w:rsidR="00984150" w:rsidRPr="005709A5">
        <w:rPr>
          <w:rFonts w:ascii="Arial" w:hAnsi="Arial" w:cs="Arial"/>
        </w:rPr>
        <w:t xml:space="preserve">, dass bei einer konkreten </w:t>
      </w:r>
      <w:r>
        <w:rPr>
          <w:rFonts w:ascii="Arial" w:hAnsi="Arial" w:cs="Arial"/>
        </w:rPr>
        <w:t xml:space="preserve">Mengenangabe, z. B. in </w:t>
      </w:r>
      <w:r w:rsidR="00984150" w:rsidRPr="005709A5">
        <w:rPr>
          <w:rFonts w:ascii="Arial" w:hAnsi="Arial" w:cs="Arial"/>
        </w:rPr>
        <w:t xml:space="preserve">Liter </w:t>
      </w:r>
      <w:r w:rsidR="00396C6E" w:rsidRPr="005709A5">
        <w:rPr>
          <w:rFonts w:ascii="Arial" w:hAnsi="Arial" w:cs="Arial"/>
        </w:rPr>
        <w:t xml:space="preserve">auch </w:t>
      </w:r>
      <w:r w:rsidR="00984150" w:rsidRPr="005709A5">
        <w:rPr>
          <w:rFonts w:ascii="Arial" w:hAnsi="Arial" w:cs="Arial"/>
        </w:rPr>
        <w:t xml:space="preserve">Mengenänderungen nachgewiesen und </w:t>
      </w:r>
      <w:r w:rsidR="00396C6E" w:rsidRPr="005709A5">
        <w:rPr>
          <w:rFonts w:ascii="Arial" w:hAnsi="Arial" w:cs="Arial"/>
        </w:rPr>
        <w:t>berücksichtig</w:t>
      </w:r>
      <w:r>
        <w:rPr>
          <w:rFonts w:ascii="Arial" w:hAnsi="Arial" w:cs="Arial"/>
        </w:rPr>
        <w:t>t</w:t>
      </w:r>
      <w:r w:rsidR="00396C6E" w:rsidRPr="005709A5">
        <w:rPr>
          <w:rFonts w:ascii="Arial" w:hAnsi="Arial" w:cs="Arial"/>
        </w:rPr>
        <w:t xml:space="preserve"> bzw. </w:t>
      </w:r>
      <w:r w:rsidR="00984150" w:rsidRPr="005709A5">
        <w:rPr>
          <w:rFonts w:ascii="Arial" w:hAnsi="Arial" w:cs="Arial"/>
        </w:rPr>
        <w:t>abgerechnet werden</w:t>
      </w:r>
      <w:r w:rsidR="00396C6E" w:rsidRPr="005709A5">
        <w:rPr>
          <w:rFonts w:ascii="Arial" w:hAnsi="Arial" w:cs="Arial"/>
        </w:rPr>
        <w:t xml:space="preserve"> müssten</w:t>
      </w:r>
      <w:r w:rsidR="00984150" w:rsidRPr="005709A5">
        <w:rPr>
          <w:rFonts w:ascii="Arial" w:hAnsi="Arial" w:cs="Arial"/>
        </w:rPr>
        <w:t xml:space="preserve">. Die Befassung mit diesen Folgefragen und der damit verbundene Aufwand entfällt bei einer pauschalierten Regelung. </w:t>
      </w:r>
    </w:p>
    <w:p w14:paraId="65A8866C" w14:textId="2FC8798A" w:rsidR="00A32F3B" w:rsidRPr="005709A5" w:rsidRDefault="001B116C" w:rsidP="00BF30AA">
      <w:pPr>
        <w:spacing w:after="24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A32F3B" w:rsidRPr="005709A5">
        <w:rPr>
          <w:rFonts w:ascii="Arial" w:hAnsi="Arial" w:cs="Arial"/>
        </w:rPr>
        <w:t>Auftragnehmer bleib</w:t>
      </w:r>
      <w:r>
        <w:rPr>
          <w:rFonts w:ascii="Arial" w:hAnsi="Arial" w:cs="Arial"/>
        </w:rPr>
        <w:t>t</w:t>
      </w:r>
      <w:r w:rsidR="00A32F3B" w:rsidRPr="005709A5">
        <w:rPr>
          <w:rFonts w:ascii="Arial" w:hAnsi="Arial" w:cs="Arial"/>
        </w:rPr>
        <w:t xml:space="preserve"> immer mit einem Eigenanteil von 10 % an der </w:t>
      </w:r>
      <w:r w:rsidR="007274D7">
        <w:rPr>
          <w:rFonts w:ascii="Arial" w:hAnsi="Arial" w:cs="Arial"/>
        </w:rPr>
        <w:t>Preise</w:t>
      </w:r>
      <w:r w:rsidR="00A32F3B" w:rsidRPr="005709A5">
        <w:rPr>
          <w:rFonts w:ascii="Arial" w:hAnsi="Arial" w:cs="Arial"/>
        </w:rPr>
        <w:t>ntwicklung beteiligt.</w:t>
      </w:r>
    </w:p>
    <w:p w14:paraId="0D39DB91" w14:textId="77777777" w:rsidR="00984150" w:rsidRPr="005709A5" w:rsidRDefault="00984150" w:rsidP="007274D7">
      <w:pPr>
        <w:pStyle w:val="berschrift1"/>
        <w:numPr>
          <w:ilvl w:val="0"/>
          <w:numId w:val="1"/>
        </w:numPr>
        <w:spacing w:before="0" w:after="120" w:line="360" w:lineRule="exact"/>
        <w:ind w:left="425" w:hanging="425"/>
      </w:pPr>
      <w:r w:rsidRPr="005709A5">
        <w:t xml:space="preserve">Anwendungsbereich / Schätzung durch den </w:t>
      </w:r>
      <w:r w:rsidR="0040656F">
        <w:t xml:space="preserve">öffentlichen </w:t>
      </w:r>
      <w:r w:rsidRPr="005709A5">
        <w:t>A</w:t>
      </w:r>
      <w:r w:rsidR="0040656F">
        <w:t>uftraggeber</w:t>
      </w:r>
      <w:r w:rsidRPr="005709A5">
        <w:t xml:space="preserve"> </w:t>
      </w:r>
    </w:p>
    <w:p w14:paraId="7FA90697" w14:textId="77777777" w:rsidR="00984150" w:rsidRPr="005709A5" w:rsidRDefault="00984150" w:rsidP="00BF30AA">
      <w:pPr>
        <w:spacing w:after="240" w:line="360" w:lineRule="exact"/>
        <w:jc w:val="both"/>
        <w:rPr>
          <w:rFonts w:ascii="Arial" w:hAnsi="Arial" w:cs="Arial"/>
        </w:rPr>
      </w:pPr>
      <w:r w:rsidRPr="005709A5">
        <w:rPr>
          <w:rFonts w:ascii="Arial" w:hAnsi="Arial" w:cs="Arial"/>
        </w:rPr>
        <w:t>Nach de</w:t>
      </w:r>
      <w:r w:rsidR="007274D7">
        <w:rPr>
          <w:rFonts w:ascii="Arial" w:hAnsi="Arial" w:cs="Arial"/>
        </w:rPr>
        <w:t>n vorbezeichneten Rundschreiben</w:t>
      </w:r>
      <w:r w:rsidR="00602352">
        <w:rPr>
          <w:rFonts w:ascii="Arial" w:hAnsi="Arial" w:cs="Arial"/>
        </w:rPr>
        <w:t xml:space="preserve"> des BMWSB und BMDV</w:t>
      </w:r>
      <w:r w:rsidRPr="005709A5">
        <w:rPr>
          <w:rFonts w:ascii="Arial" w:hAnsi="Arial" w:cs="Arial"/>
        </w:rPr>
        <w:t xml:space="preserve"> kommt eine </w:t>
      </w:r>
      <w:r w:rsidR="00602352">
        <w:rPr>
          <w:rFonts w:ascii="Arial" w:hAnsi="Arial" w:cs="Arial"/>
        </w:rPr>
        <w:t>Preisg</w:t>
      </w:r>
      <w:r w:rsidRPr="005709A5">
        <w:rPr>
          <w:rFonts w:ascii="Arial" w:hAnsi="Arial" w:cs="Arial"/>
        </w:rPr>
        <w:t xml:space="preserve">leitung </w:t>
      </w:r>
      <w:r w:rsidR="00D51C2B">
        <w:rPr>
          <w:rFonts w:ascii="Arial" w:hAnsi="Arial" w:cs="Arial"/>
        </w:rPr>
        <w:t xml:space="preserve">u. a. </w:t>
      </w:r>
      <w:r w:rsidRPr="005709A5">
        <w:rPr>
          <w:rFonts w:ascii="Arial" w:hAnsi="Arial" w:cs="Arial"/>
        </w:rPr>
        <w:t xml:space="preserve">in Betracht, wenn der Anteil der Betriebsstoffe </w:t>
      </w:r>
      <w:r w:rsidR="002F28A3" w:rsidRPr="005709A5">
        <w:rPr>
          <w:rFonts w:ascii="Arial" w:hAnsi="Arial" w:cs="Arial"/>
        </w:rPr>
        <w:t>mehr als</w:t>
      </w:r>
      <w:r w:rsidRPr="005709A5">
        <w:rPr>
          <w:rFonts w:ascii="Arial" w:hAnsi="Arial" w:cs="Arial"/>
        </w:rPr>
        <w:t xml:space="preserve"> 1 % der Auftragssumme beträgt. Diese </w:t>
      </w:r>
      <w:r w:rsidR="00602352">
        <w:rPr>
          <w:rFonts w:ascii="Arial" w:hAnsi="Arial" w:cs="Arial"/>
        </w:rPr>
        <w:t>Grenze</w:t>
      </w:r>
      <w:r w:rsidRPr="005709A5">
        <w:rPr>
          <w:rFonts w:ascii="Arial" w:hAnsi="Arial" w:cs="Arial"/>
        </w:rPr>
        <w:t xml:space="preserve"> wird </w:t>
      </w:r>
      <w:r w:rsidR="00602352">
        <w:rPr>
          <w:rFonts w:ascii="Arial" w:hAnsi="Arial" w:cs="Arial"/>
        </w:rPr>
        <w:t xml:space="preserve">erfahrungsgemäß </w:t>
      </w:r>
      <w:r w:rsidRPr="005709A5">
        <w:rPr>
          <w:rFonts w:ascii="Arial" w:hAnsi="Arial" w:cs="Arial"/>
        </w:rPr>
        <w:t xml:space="preserve">bei </w:t>
      </w:r>
      <w:r w:rsidR="00602352">
        <w:rPr>
          <w:rFonts w:ascii="Arial" w:hAnsi="Arial" w:cs="Arial"/>
        </w:rPr>
        <w:t xml:space="preserve">fast </w:t>
      </w:r>
      <w:r w:rsidRPr="005709A5">
        <w:rPr>
          <w:rFonts w:ascii="Arial" w:hAnsi="Arial" w:cs="Arial"/>
        </w:rPr>
        <w:t xml:space="preserve">allen </w:t>
      </w:r>
      <w:r w:rsidR="00396C6E" w:rsidRPr="005709A5">
        <w:rPr>
          <w:rFonts w:ascii="Arial" w:hAnsi="Arial" w:cs="Arial"/>
        </w:rPr>
        <w:t>Beschaffungen im Bau-, Liefer- und Dienstleistungsbereich</w:t>
      </w:r>
      <w:r w:rsidRPr="005709A5">
        <w:rPr>
          <w:rFonts w:ascii="Arial" w:hAnsi="Arial" w:cs="Arial"/>
        </w:rPr>
        <w:t xml:space="preserve"> überschritten, da </w:t>
      </w:r>
      <w:r w:rsidR="00396C6E" w:rsidRPr="005709A5">
        <w:rPr>
          <w:rFonts w:ascii="Arial" w:hAnsi="Arial" w:cs="Arial"/>
        </w:rPr>
        <w:t xml:space="preserve">z. B. </w:t>
      </w:r>
      <w:r w:rsidRPr="005709A5">
        <w:rPr>
          <w:rFonts w:ascii="Arial" w:hAnsi="Arial" w:cs="Arial"/>
        </w:rPr>
        <w:t xml:space="preserve">nicht nur die eigenen Geräte, sondern auch die derzeit besonders sprunghaft steigenden hohen Frachtanteile für Speditionen und Lieferanten in die Kalkulation der Betriebskosten eingehen müssen. Diese </w:t>
      </w:r>
      <w:r w:rsidR="002F28A3" w:rsidRPr="005709A5">
        <w:rPr>
          <w:rFonts w:ascii="Arial" w:hAnsi="Arial" w:cs="Arial"/>
        </w:rPr>
        <w:t>Kalkulationsbestandteile</w:t>
      </w:r>
      <w:r w:rsidRPr="005709A5">
        <w:rPr>
          <w:rFonts w:ascii="Arial" w:hAnsi="Arial" w:cs="Arial"/>
        </w:rPr>
        <w:t xml:space="preserve"> sind bei der Schätzung </w:t>
      </w:r>
      <w:r w:rsidR="002F28A3" w:rsidRPr="005709A5">
        <w:rPr>
          <w:rFonts w:ascii="Arial" w:hAnsi="Arial" w:cs="Arial"/>
        </w:rPr>
        <w:t>des Kostenanteils für Betriebsstoffe berücksichtigt</w:t>
      </w:r>
      <w:r w:rsidRPr="005709A5">
        <w:rPr>
          <w:rFonts w:ascii="Arial" w:hAnsi="Arial" w:cs="Arial"/>
        </w:rPr>
        <w:t xml:space="preserve">. </w:t>
      </w:r>
    </w:p>
    <w:p w14:paraId="126EC28C" w14:textId="38264BEE" w:rsidR="00984150" w:rsidRPr="00BF30AA" w:rsidRDefault="00984150" w:rsidP="00BF30AA">
      <w:pPr>
        <w:spacing w:after="240" w:line="360" w:lineRule="exact"/>
        <w:jc w:val="both"/>
        <w:rPr>
          <w:rFonts w:ascii="Arial" w:hAnsi="Arial" w:cs="Arial"/>
        </w:rPr>
      </w:pPr>
      <w:r w:rsidRPr="005709A5">
        <w:rPr>
          <w:rFonts w:ascii="Arial" w:hAnsi="Arial" w:cs="Arial"/>
        </w:rPr>
        <w:lastRenderedPageBreak/>
        <w:t xml:space="preserve">Die Eintragung eines pauschalen Prozentsatzes </w:t>
      </w:r>
      <w:r w:rsidR="00396C6E" w:rsidRPr="005709A5">
        <w:rPr>
          <w:rFonts w:ascii="Arial" w:hAnsi="Arial" w:cs="Arial"/>
        </w:rPr>
        <w:t xml:space="preserve">für den Kostenanteil </w:t>
      </w:r>
      <w:r w:rsidRPr="005709A5">
        <w:rPr>
          <w:rFonts w:ascii="Arial" w:hAnsi="Arial" w:cs="Arial"/>
        </w:rPr>
        <w:t xml:space="preserve">der </w:t>
      </w:r>
      <w:r w:rsidR="00396C6E" w:rsidRPr="005709A5">
        <w:rPr>
          <w:rFonts w:ascii="Arial" w:hAnsi="Arial" w:cs="Arial"/>
        </w:rPr>
        <w:t>Betriebssto</w:t>
      </w:r>
      <w:r w:rsidR="00A32F3B" w:rsidRPr="005709A5">
        <w:rPr>
          <w:rFonts w:ascii="Arial" w:hAnsi="Arial" w:cs="Arial"/>
        </w:rPr>
        <w:t>ffe</w:t>
      </w:r>
      <w:r w:rsidRPr="005709A5">
        <w:rPr>
          <w:rFonts w:ascii="Arial" w:hAnsi="Arial" w:cs="Arial"/>
        </w:rPr>
        <w:t xml:space="preserve"> am Auftragsvolumen hat durch den </w:t>
      </w:r>
      <w:r w:rsidR="00602352">
        <w:rPr>
          <w:rFonts w:ascii="Arial" w:hAnsi="Arial" w:cs="Arial"/>
        </w:rPr>
        <w:t xml:space="preserve">öffentlichen </w:t>
      </w:r>
      <w:r w:rsidRPr="005709A5">
        <w:rPr>
          <w:rFonts w:ascii="Arial" w:hAnsi="Arial" w:cs="Arial"/>
        </w:rPr>
        <w:t>A</w:t>
      </w:r>
      <w:r w:rsidR="00602352">
        <w:rPr>
          <w:rFonts w:ascii="Arial" w:hAnsi="Arial" w:cs="Arial"/>
        </w:rPr>
        <w:t>uftraggeber</w:t>
      </w:r>
      <w:r w:rsidRPr="005709A5">
        <w:rPr>
          <w:rFonts w:ascii="Arial" w:hAnsi="Arial" w:cs="Arial"/>
        </w:rPr>
        <w:t xml:space="preserve"> zu erfolgen und sollte möglichst realistisch sein. </w:t>
      </w:r>
      <w:r w:rsidR="001B116C">
        <w:rPr>
          <w:rFonts w:ascii="Arial" w:hAnsi="Arial" w:cs="Arial"/>
        </w:rPr>
        <w:t xml:space="preserve">Eine Hilfestellung für die Ermittlung der Betriebsstoffquote ergibt sich aus der beigefügten Tabelle; sie sieht für den Baubereich, getrennt nach Hoch- und Tiefbau, und für Lieferleistungen in Abhängigkeit vom Auftragsvolumen entsprechende Quoten vor. </w:t>
      </w:r>
      <w:r w:rsidR="00396C6E" w:rsidRPr="005709A5">
        <w:rPr>
          <w:rFonts w:ascii="Arial" w:hAnsi="Arial" w:cs="Arial"/>
        </w:rPr>
        <w:t xml:space="preserve">Es kann </w:t>
      </w:r>
      <w:r w:rsidR="00A32F3B" w:rsidRPr="005709A5">
        <w:rPr>
          <w:rFonts w:ascii="Arial" w:hAnsi="Arial" w:cs="Arial"/>
        </w:rPr>
        <w:t xml:space="preserve">dazu </w:t>
      </w:r>
      <w:r w:rsidR="00396C6E" w:rsidRPr="005709A5">
        <w:rPr>
          <w:rFonts w:ascii="Arial" w:hAnsi="Arial" w:cs="Arial"/>
        </w:rPr>
        <w:t xml:space="preserve">aber auch eine gezielte Markterkundung bei betroffenen Fachverbänden oder Unternehmen, die im ausgeschriebenen Leistungsspektrum tätig sind, in Betracht kommen. </w:t>
      </w:r>
      <w:r w:rsidRPr="005709A5">
        <w:rPr>
          <w:rFonts w:ascii="Arial" w:hAnsi="Arial" w:cs="Arial"/>
        </w:rPr>
        <w:t xml:space="preserve">Sollten die </w:t>
      </w:r>
      <w:r w:rsidR="00216D4B">
        <w:rPr>
          <w:rFonts w:ascii="Arial" w:hAnsi="Arial" w:cs="Arial"/>
        </w:rPr>
        <w:t xml:space="preserve">aus den Vergabeunterlagen </w:t>
      </w:r>
      <w:r w:rsidR="00396C6E" w:rsidRPr="005709A5">
        <w:rPr>
          <w:rFonts w:ascii="Arial" w:hAnsi="Arial" w:cs="Arial"/>
        </w:rPr>
        <w:t xml:space="preserve">verwendeten </w:t>
      </w:r>
      <w:r w:rsidR="00216D4B">
        <w:rPr>
          <w:rFonts w:ascii="Arial" w:hAnsi="Arial" w:cs="Arial"/>
        </w:rPr>
        <w:t>S</w:t>
      </w:r>
      <w:r w:rsidRPr="005709A5">
        <w:rPr>
          <w:rFonts w:ascii="Arial" w:hAnsi="Arial" w:cs="Arial"/>
        </w:rPr>
        <w:t xml:space="preserve">ätze aus Sicht der </w:t>
      </w:r>
      <w:r w:rsidR="0040656F">
        <w:rPr>
          <w:rFonts w:ascii="Arial" w:hAnsi="Arial" w:cs="Arial"/>
        </w:rPr>
        <w:t>Unternehmen</w:t>
      </w:r>
      <w:r w:rsidRPr="005709A5">
        <w:rPr>
          <w:rFonts w:ascii="Arial" w:hAnsi="Arial" w:cs="Arial"/>
        </w:rPr>
        <w:t xml:space="preserve"> nicht zutreffen, kommt </w:t>
      </w:r>
      <w:r w:rsidR="0040656F">
        <w:rPr>
          <w:rFonts w:ascii="Arial" w:hAnsi="Arial" w:cs="Arial"/>
        </w:rPr>
        <w:t xml:space="preserve">zwecks Klärung </w:t>
      </w:r>
      <w:r w:rsidRPr="005709A5">
        <w:rPr>
          <w:rFonts w:ascii="Arial" w:hAnsi="Arial" w:cs="Arial"/>
        </w:rPr>
        <w:t xml:space="preserve">eine Kontaktaufnahme mit </w:t>
      </w:r>
      <w:r w:rsidR="00BF30AA">
        <w:rPr>
          <w:rFonts w:ascii="Arial" w:hAnsi="Arial" w:cs="Arial"/>
        </w:rPr>
        <w:t xml:space="preserve">der Vergabestelle in Betracht. </w:t>
      </w:r>
    </w:p>
    <w:p w14:paraId="3E2A39B8" w14:textId="77777777" w:rsidR="00984150" w:rsidRPr="005709A5" w:rsidRDefault="00984150" w:rsidP="0040656F">
      <w:pPr>
        <w:pStyle w:val="berschrift1"/>
        <w:numPr>
          <w:ilvl w:val="0"/>
          <w:numId w:val="1"/>
        </w:numPr>
        <w:spacing w:before="0" w:after="120" w:line="360" w:lineRule="exact"/>
        <w:ind w:left="425" w:hanging="425"/>
      </w:pPr>
      <w:r w:rsidRPr="005709A5">
        <w:t xml:space="preserve">Abrechnung </w:t>
      </w:r>
    </w:p>
    <w:p w14:paraId="74F51EE8" w14:textId="1686C058" w:rsidR="00984150" w:rsidRDefault="009304F8" w:rsidP="00BF30AA">
      <w:pPr>
        <w:spacing w:after="240" w:line="360" w:lineRule="exact"/>
        <w:jc w:val="both"/>
        <w:rPr>
          <w:rFonts w:ascii="Arial" w:hAnsi="Arial" w:cs="Arial"/>
        </w:rPr>
      </w:pPr>
      <w:r w:rsidRPr="005709A5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Vertragsk</w:t>
      </w:r>
      <w:r w:rsidRPr="005709A5">
        <w:rPr>
          <w:rFonts w:ascii="Arial" w:hAnsi="Arial" w:cs="Arial"/>
        </w:rPr>
        <w:t>lausel schafft eine Grundlage für die erleichterte Abrechnung</w:t>
      </w:r>
      <w:r>
        <w:rPr>
          <w:rFonts w:ascii="Arial" w:hAnsi="Arial" w:cs="Arial"/>
        </w:rPr>
        <w:t xml:space="preserve">. </w:t>
      </w:r>
      <w:r w:rsidR="00984150" w:rsidRPr="005709A5">
        <w:rPr>
          <w:rFonts w:ascii="Arial" w:hAnsi="Arial" w:cs="Arial"/>
        </w:rPr>
        <w:t xml:space="preserve">Maßgebliche Änderungen </w:t>
      </w:r>
      <w:r w:rsidR="00A32F3B" w:rsidRPr="005709A5">
        <w:rPr>
          <w:rFonts w:ascii="Arial" w:hAnsi="Arial" w:cs="Arial"/>
        </w:rPr>
        <w:t xml:space="preserve">in der Preisentwicklung bei den Betriebsstoffen </w:t>
      </w:r>
      <w:r w:rsidR="00984150" w:rsidRPr="005709A5">
        <w:rPr>
          <w:rFonts w:ascii="Arial" w:hAnsi="Arial" w:cs="Arial"/>
        </w:rPr>
        <w:t xml:space="preserve">können durch die Auftragnehmer über Abschlagsrechnungen monatlich geltend gemacht werden. Der für die Ermittlung maßgebliche Index der „Fachserie 17, Reihe 2“ des Statistischen Bundesamtes </w:t>
      </w:r>
      <w:r w:rsidR="008867CC">
        <w:rPr>
          <w:rFonts w:ascii="Arial" w:hAnsi="Arial" w:cs="Arial"/>
        </w:rPr>
        <w:t>(</w:t>
      </w:r>
      <w:hyperlink r:id="rId7" w:history="1">
        <w:r w:rsidR="00E453DE" w:rsidRPr="00325275">
          <w:rPr>
            <w:rStyle w:val="Hyperlink"/>
            <w:rFonts w:ascii="Arial" w:hAnsi="Arial" w:cs="Arial"/>
          </w:rPr>
          <w:t>https://www.destatis.de/DE/Themen/Wirtschaft/Preise/Erzeugerpreisindex-gewerbliche-Produkte/Publikationen/erzeugerpreise-artikel.html</w:t>
        </w:r>
      </w:hyperlink>
      <w:r w:rsidR="008867CC">
        <w:rPr>
          <w:rFonts w:ascii="Arial" w:hAnsi="Arial" w:cs="Arial"/>
        </w:rPr>
        <w:t>)</w:t>
      </w:r>
      <w:r w:rsidR="00E453DE">
        <w:rPr>
          <w:rFonts w:ascii="Arial" w:hAnsi="Arial" w:cs="Arial"/>
        </w:rPr>
        <w:t xml:space="preserve"> </w:t>
      </w:r>
      <w:r w:rsidR="00984150" w:rsidRPr="005709A5">
        <w:rPr>
          <w:rFonts w:ascii="Arial" w:hAnsi="Arial" w:cs="Arial"/>
        </w:rPr>
        <w:t xml:space="preserve">ist </w:t>
      </w:r>
      <w:r w:rsidR="000E65AC">
        <w:rPr>
          <w:rFonts w:ascii="Arial" w:hAnsi="Arial" w:cs="Arial"/>
        </w:rPr>
        <w:t>den öffentlichen Auftraggebern</w:t>
      </w:r>
      <w:r w:rsidR="00984150" w:rsidRPr="005709A5">
        <w:rPr>
          <w:rFonts w:ascii="Arial" w:hAnsi="Arial" w:cs="Arial"/>
        </w:rPr>
        <w:t xml:space="preserve"> bekannt und bei Preisgleitklauseln üblich. </w:t>
      </w:r>
      <w:r w:rsidR="0040656F">
        <w:rPr>
          <w:rFonts w:ascii="Arial" w:hAnsi="Arial" w:cs="Arial"/>
        </w:rPr>
        <w:t>Mit dem Ziel einer administrativ einfachen Handhabung wird</w:t>
      </w:r>
      <w:r w:rsidR="00A32F3B" w:rsidRPr="005709A5">
        <w:rPr>
          <w:rFonts w:ascii="Arial" w:hAnsi="Arial" w:cs="Arial"/>
        </w:rPr>
        <w:t xml:space="preserve"> nur der für Diesel dort unter der GP-Nummer </w:t>
      </w:r>
      <w:r w:rsidR="00102B4C" w:rsidRPr="005709A5">
        <w:rPr>
          <w:rFonts w:ascii="Arial" w:hAnsi="Arial" w:cs="Arial"/>
        </w:rPr>
        <w:t>19 20 26 005</w:t>
      </w:r>
      <w:r w:rsidR="00A32F3B" w:rsidRPr="005709A5">
        <w:rPr>
          <w:rFonts w:ascii="Arial" w:hAnsi="Arial" w:cs="Arial"/>
        </w:rPr>
        <w:t xml:space="preserve"> genannte Index</w:t>
      </w:r>
      <w:r w:rsidR="0040656F">
        <w:rPr>
          <w:rFonts w:ascii="Arial" w:hAnsi="Arial" w:cs="Arial"/>
        </w:rPr>
        <w:t xml:space="preserve"> herangezogen. Dieser macht </w:t>
      </w:r>
      <w:r w:rsidR="00A32F3B" w:rsidRPr="005709A5">
        <w:rPr>
          <w:rFonts w:ascii="Arial" w:hAnsi="Arial" w:cs="Arial"/>
        </w:rPr>
        <w:t xml:space="preserve">in der Regel bei den Betriebsstoffen den </w:t>
      </w:r>
      <w:r w:rsidR="0040656F">
        <w:rPr>
          <w:rFonts w:ascii="Arial" w:hAnsi="Arial" w:cs="Arial"/>
        </w:rPr>
        <w:t>wesentlichen</w:t>
      </w:r>
      <w:r w:rsidR="00A32F3B" w:rsidRPr="005709A5">
        <w:rPr>
          <w:rFonts w:ascii="Arial" w:hAnsi="Arial" w:cs="Arial"/>
        </w:rPr>
        <w:t xml:space="preserve"> Anteil an den Angebotskosten aus.</w:t>
      </w:r>
      <w:r w:rsidR="00966437">
        <w:rPr>
          <w:rFonts w:ascii="Arial" w:hAnsi="Arial" w:cs="Arial"/>
        </w:rPr>
        <w:t xml:space="preserve"> Alle weiteren Betriebsstoffe sind mit dem pauschalen Ansatz abgegolten.</w:t>
      </w:r>
    </w:p>
    <w:p w14:paraId="7AAFAD07" w14:textId="77777777" w:rsidR="008867CC" w:rsidRPr="005709A5" w:rsidRDefault="008867CC" w:rsidP="00BF30AA">
      <w:pPr>
        <w:spacing w:after="24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Neben den langen Reihen der Fachserie 17 Reihe 2 ist eine genauere Verfolgung der Preisentwicklung auch durch Zugriff auf die Genesis-Online-Datenbank des Statistischen Bundesamtes möglich. Eine Anleitung für die Genesis-Online-Datenbank war dem Rundschreiben des Bundesministeriums </w:t>
      </w:r>
      <w:r w:rsidR="00800455">
        <w:rPr>
          <w:rFonts w:ascii="Arial" w:hAnsi="Arial" w:cs="Arial"/>
        </w:rPr>
        <w:t>des Innern, für Bau und Heimat vom 21.05.2021 – BW I 7 – 70437/9#3 – beigefügt. Diese liegt diesen Anwendungshinweisen nochmals bei.</w:t>
      </w:r>
    </w:p>
    <w:p w14:paraId="408DE466" w14:textId="77777777" w:rsidR="00984150" w:rsidRPr="005709A5" w:rsidRDefault="0040656F" w:rsidP="0040656F">
      <w:pPr>
        <w:pStyle w:val="berschrift1"/>
        <w:numPr>
          <w:ilvl w:val="0"/>
          <w:numId w:val="1"/>
        </w:numPr>
        <w:spacing w:before="0" w:after="120" w:line="360" w:lineRule="exact"/>
        <w:ind w:left="425" w:hanging="425"/>
      </w:pPr>
      <w:r>
        <w:t>Auswirkung</w:t>
      </w:r>
      <w:r w:rsidR="009304F8">
        <w:t>en</w:t>
      </w:r>
      <w:r>
        <w:t xml:space="preserve"> </w:t>
      </w:r>
      <w:r w:rsidR="009304F8">
        <w:t xml:space="preserve">auf die Kalkulation und </w:t>
      </w:r>
      <w:r>
        <w:t>auf</w:t>
      </w:r>
      <w:r w:rsidR="009304F8">
        <w:t xml:space="preserve"> mögliche </w:t>
      </w:r>
      <w:r>
        <w:t>Nachträge</w:t>
      </w:r>
    </w:p>
    <w:p w14:paraId="1E7FE477" w14:textId="77777777" w:rsidR="00984150" w:rsidRPr="005709A5" w:rsidRDefault="009304F8" w:rsidP="00BF30AA">
      <w:pPr>
        <w:spacing w:after="24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Die Vertragsklausel</w:t>
      </w:r>
      <w:r w:rsidR="0040656F">
        <w:rPr>
          <w:rFonts w:ascii="Arial" w:hAnsi="Arial" w:cs="Arial"/>
        </w:rPr>
        <w:t xml:space="preserve"> hat</w:t>
      </w:r>
      <w:r w:rsidR="00984150" w:rsidRPr="005709A5">
        <w:rPr>
          <w:rFonts w:ascii="Arial" w:hAnsi="Arial" w:cs="Arial"/>
        </w:rPr>
        <w:t xml:space="preserve"> keine direkten Auswirkungen auf die Kalkulation der anzubietenden Leistungen. Alle ausgeschriebenen Leistungen sind deshalb mit den ggf. erforderlichen Betriebsstoffen in den einschlägigen Positionen zu kalkulieren.</w:t>
      </w:r>
    </w:p>
    <w:p w14:paraId="2B6C60AE" w14:textId="7B71EE2D" w:rsidR="00984150" w:rsidRPr="005709A5" w:rsidRDefault="00984150" w:rsidP="00BF30AA">
      <w:pPr>
        <w:spacing w:after="240" w:line="360" w:lineRule="exact"/>
        <w:jc w:val="both"/>
        <w:rPr>
          <w:rFonts w:ascii="Arial" w:hAnsi="Arial" w:cs="Arial"/>
        </w:rPr>
      </w:pPr>
      <w:r w:rsidRPr="005709A5">
        <w:rPr>
          <w:rFonts w:ascii="Arial" w:hAnsi="Arial" w:cs="Arial"/>
        </w:rPr>
        <w:t xml:space="preserve">Auch Nachtragsleistungen können wie gewohnt und ohne Rücksicht auf die </w:t>
      </w:r>
      <w:r w:rsidR="0040656F">
        <w:rPr>
          <w:rFonts w:ascii="Arial" w:hAnsi="Arial" w:cs="Arial"/>
        </w:rPr>
        <w:t>Vertragsk</w:t>
      </w:r>
      <w:r w:rsidRPr="005709A5">
        <w:rPr>
          <w:rFonts w:ascii="Arial" w:hAnsi="Arial" w:cs="Arial"/>
        </w:rPr>
        <w:t xml:space="preserve">lausel kalkuliert werden; </w:t>
      </w:r>
      <w:r w:rsidR="00E57E27" w:rsidRPr="005709A5">
        <w:rPr>
          <w:rFonts w:ascii="Arial" w:hAnsi="Arial" w:cs="Arial"/>
        </w:rPr>
        <w:t xml:space="preserve">die Klausel gilt </w:t>
      </w:r>
      <w:r w:rsidR="00216D4B">
        <w:rPr>
          <w:rFonts w:ascii="Arial" w:hAnsi="Arial" w:cs="Arial"/>
        </w:rPr>
        <w:t xml:space="preserve">nur </w:t>
      </w:r>
      <w:r w:rsidR="00E57E27" w:rsidRPr="005709A5">
        <w:rPr>
          <w:rFonts w:ascii="Arial" w:hAnsi="Arial" w:cs="Arial"/>
        </w:rPr>
        <w:t>für den vertraglich vereinbarten Leistungsumfang</w:t>
      </w:r>
      <w:r w:rsidR="00216D4B">
        <w:rPr>
          <w:rFonts w:ascii="Arial" w:hAnsi="Arial" w:cs="Arial"/>
        </w:rPr>
        <w:t>.</w:t>
      </w:r>
      <w:r w:rsidRPr="005709A5">
        <w:rPr>
          <w:rFonts w:ascii="Arial" w:hAnsi="Arial" w:cs="Arial"/>
        </w:rPr>
        <w:t xml:space="preserve"> </w:t>
      </w:r>
    </w:p>
    <w:p w14:paraId="77C5B692" w14:textId="77777777" w:rsidR="004301F3" w:rsidRPr="004301F3" w:rsidRDefault="00E452F9" w:rsidP="004301F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C4CDA4C" w14:textId="77777777" w:rsidR="00982AA8" w:rsidRPr="00E41F4E" w:rsidRDefault="00982AA8" w:rsidP="00982AA8">
      <w:pPr>
        <w:spacing w:after="240" w:line="360" w:lineRule="exact"/>
        <w:jc w:val="both"/>
        <w:rPr>
          <w:rFonts w:ascii="Arial" w:hAnsi="Arial" w:cs="Arial"/>
          <w:u w:val="single"/>
        </w:rPr>
      </w:pPr>
      <w:r w:rsidRPr="00E41F4E">
        <w:rPr>
          <w:rFonts w:ascii="Arial" w:hAnsi="Arial" w:cs="Arial"/>
          <w:u w:val="single"/>
        </w:rPr>
        <w:lastRenderedPageBreak/>
        <w:t>Anlage</w:t>
      </w:r>
    </w:p>
    <w:p w14:paraId="1B5F4DCF" w14:textId="77777777" w:rsidR="00982AA8" w:rsidRDefault="00982AA8" w:rsidP="00982AA8"/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120"/>
        <w:gridCol w:w="2120"/>
        <w:gridCol w:w="2120"/>
      </w:tblGrid>
      <w:tr w:rsidR="00982AA8" w:rsidRPr="00E41F4E" w14:paraId="45583C42" w14:textId="77777777" w:rsidTr="00682AC2">
        <w:trPr>
          <w:trHeight w:val="300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BA85" w14:textId="77777777" w:rsidR="00982AA8" w:rsidRPr="00E41F4E" w:rsidRDefault="00982AA8" w:rsidP="00682AC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41F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Tabelle: </w:t>
            </w:r>
            <w:r w:rsidRPr="00E41F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Orientierungswerte zur Festlegung des pauschalen Prozentsatzes </w:t>
            </w:r>
          </w:p>
        </w:tc>
      </w:tr>
      <w:tr w:rsidR="00982AA8" w:rsidRPr="00E41F4E" w14:paraId="2EDBD3E8" w14:textId="77777777" w:rsidTr="00682AC2">
        <w:trPr>
          <w:trHeight w:val="300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95CD" w14:textId="77777777" w:rsidR="00982AA8" w:rsidRPr="00E41F4E" w:rsidRDefault="00982AA8" w:rsidP="00682AC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41F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          für den Kostenanteil der Betriebsstoffe am Auftragsvolumen </w:t>
            </w:r>
          </w:p>
        </w:tc>
      </w:tr>
      <w:tr w:rsidR="00982AA8" w:rsidRPr="00E41F4E" w14:paraId="4C93665E" w14:textId="77777777" w:rsidTr="00682AC2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3D7A" w14:textId="77777777" w:rsidR="00982AA8" w:rsidRPr="00E41F4E" w:rsidRDefault="00982AA8" w:rsidP="00682AC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5521" w14:textId="77777777" w:rsidR="00982AA8" w:rsidRPr="00E41F4E" w:rsidRDefault="00982AA8" w:rsidP="00682AC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845F" w14:textId="77777777" w:rsidR="00982AA8" w:rsidRPr="00E41F4E" w:rsidRDefault="00982AA8" w:rsidP="00682AC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D887" w14:textId="77777777" w:rsidR="00982AA8" w:rsidRPr="00E41F4E" w:rsidRDefault="00982AA8" w:rsidP="00682AC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82AA8" w:rsidRPr="00E41F4E" w14:paraId="63B51B52" w14:textId="77777777" w:rsidTr="00682AC2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0E3F" w14:textId="77777777" w:rsidR="00982AA8" w:rsidRPr="00E41F4E" w:rsidRDefault="00982AA8" w:rsidP="00682AC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6886" w14:textId="77777777" w:rsidR="00982AA8" w:rsidRPr="00E41F4E" w:rsidRDefault="00982AA8" w:rsidP="00682AC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83CB" w14:textId="77777777" w:rsidR="00982AA8" w:rsidRPr="00E41F4E" w:rsidRDefault="00982AA8" w:rsidP="00682AC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D58B" w14:textId="77777777" w:rsidR="00982AA8" w:rsidRPr="00E41F4E" w:rsidRDefault="00982AA8" w:rsidP="00682AC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82AA8" w:rsidRPr="00E41F4E" w14:paraId="567F23C6" w14:textId="77777777" w:rsidTr="00682AC2">
        <w:trPr>
          <w:trHeight w:val="300"/>
        </w:trPr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35E6134C" w14:textId="77777777" w:rsidR="00982AA8" w:rsidRPr="00E41F4E" w:rsidRDefault="00982AA8" w:rsidP="00682AC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41F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Anteil der Betriebsstoffe </w:t>
            </w:r>
          </w:p>
        </w:tc>
      </w:tr>
      <w:tr w:rsidR="00982AA8" w:rsidRPr="00E41F4E" w14:paraId="2C3CF806" w14:textId="77777777" w:rsidTr="00682AC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668C429C" w14:textId="77777777" w:rsidR="00982AA8" w:rsidRPr="00E41F4E" w:rsidRDefault="00982AA8" w:rsidP="00682AC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41F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2DE45927" w14:textId="77777777" w:rsidR="00982AA8" w:rsidRPr="00E41F4E" w:rsidRDefault="00982AA8" w:rsidP="00682AC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41F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82AA8" w:rsidRPr="00E41F4E" w14:paraId="2BDF4616" w14:textId="77777777" w:rsidTr="00682AC2">
        <w:trPr>
          <w:trHeight w:val="499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A03C344" w14:textId="77777777" w:rsidR="00982AA8" w:rsidRPr="00E41F4E" w:rsidRDefault="00982AA8" w:rsidP="00682AC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41F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CD50" w14:textId="77777777" w:rsidR="00982AA8" w:rsidRPr="00E41F4E" w:rsidRDefault="00982AA8" w:rsidP="00682AC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41F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Auftragssumme [Mio. €]</w:t>
            </w:r>
          </w:p>
        </w:tc>
      </w:tr>
      <w:tr w:rsidR="00982AA8" w:rsidRPr="00E41F4E" w14:paraId="6374551D" w14:textId="77777777" w:rsidTr="00682AC2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F909388" w14:textId="77777777" w:rsidR="00982AA8" w:rsidRPr="00E41F4E" w:rsidRDefault="00982AA8" w:rsidP="00682AC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41F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A491" w14:textId="77777777" w:rsidR="00982AA8" w:rsidRPr="00E41F4E" w:rsidRDefault="00982AA8" w:rsidP="00682AC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41F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&lt; 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388D" w14:textId="77777777" w:rsidR="00982AA8" w:rsidRPr="00E41F4E" w:rsidRDefault="00982AA8" w:rsidP="00682AC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41F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45F2" w14:textId="77777777" w:rsidR="00982AA8" w:rsidRPr="00E41F4E" w:rsidRDefault="00982AA8" w:rsidP="00682AC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41F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&gt; 10</w:t>
            </w:r>
          </w:p>
        </w:tc>
      </w:tr>
      <w:tr w:rsidR="00982AA8" w:rsidRPr="00E41F4E" w14:paraId="5F4D6D5C" w14:textId="77777777" w:rsidTr="00682AC2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F231A6" w14:textId="77777777" w:rsidR="00982AA8" w:rsidRPr="00E41F4E" w:rsidRDefault="00982AA8" w:rsidP="00682AC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41F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Straßen- und Tiefbau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674C" w14:textId="77777777" w:rsidR="00982AA8" w:rsidRPr="00E41F4E" w:rsidRDefault="00982AA8" w:rsidP="00682AC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41F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BF14" w14:textId="77777777" w:rsidR="00982AA8" w:rsidRPr="00E41F4E" w:rsidRDefault="00982AA8" w:rsidP="00682AC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41F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39DC" w14:textId="77777777" w:rsidR="00982AA8" w:rsidRPr="00E41F4E" w:rsidRDefault="00982AA8" w:rsidP="00682AC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41F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3%</w:t>
            </w:r>
          </w:p>
        </w:tc>
      </w:tr>
      <w:tr w:rsidR="00982AA8" w:rsidRPr="00E41F4E" w14:paraId="43385240" w14:textId="77777777" w:rsidTr="00682AC2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69445B" w14:textId="77777777" w:rsidR="00982AA8" w:rsidRPr="00E41F4E" w:rsidRDefault="00982AA8" w:rsidP="00682AC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41F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Hochbau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1A0C" w14:textId="77777777" w:rsidR="00982AA8" w:rsidRPr="00E41F4E" w:rsidRDefault="00982AA8" w:rsidP="00682AC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41F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00AC" w14:textId="77777777" w:rsidR="00982AA8" w:rsidRPr="00E41F4E" w:rsidRDefault="00982AA8" w:rsidP="00682AC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41F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96CE" w14:textId="77777777" w:rsidR="00982AA8" w:rsidRPr="00E41F4E" w:rsidRDefault="00982AA8" w:rsidP="00682AC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41F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2%</w:t>
            </w:r>
          </w:p>
        </w:tc>
      </w:tr>
      <w:tr w:rsidR="00982AA8" w:rsidRPr="00E41F4E" w14:paraId="0A23CCD0" w14:textId="77777777" w:rsidTr="00682AC2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B82CED" w14:textId="77777777" w:rsidR="00982AA8" w:rsidRPr="00E41F4E" w:rsidRDefault="00982AA8" w:rsidP="00682AC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41F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Lieferleistungen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6B78" w14:textId="77777777" w:rsidR="00982AA8" w:rsidRPr="00E41F4E" w:rsidRDefault="00982AA8" w:rsidP="00682AC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41F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BF98" w14:textId="77777777" w:rsidR="00982AA8" w:rsidRPr="00E41F4E" w:rsidRDefault="00982AA8" w:rsidP="00682AC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41F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24BB" w14:textId="77777777" w:rsidR="00982AA8" w:rsidRPr="00E41F4E" w:rsidRDefault="00982AA8" w:rsidP="00682AC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41F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1%</w:t>
            </w:r>
          </w:p>
        </w:tc>
      </w:tr>
      <w:tr w:rsidR="00982AA8" w:rsidRPr="00E41F4E" w14:paraId="2082C508" w14:textId="77777777" w:rsidTr="00682AC2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7507DB" w14:textId="77777777" w:rsidR="00982AA8" w:rsidRPr="00E41F4E" w:rsidRDefault="00982AA8" w:rsidP="00682AC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41F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B0A31" w14:textId="77777777" w:rsidR="00982AA8" w:rsidRPr="00E41F4E" w:rsidRDefault="00982AA8" w:rsidP="00682AC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41F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3CD8578" w14:textId="77777777" w:rsidR="00982AA8" w:rsidRDefault="00982AA8" w:rsidP="00982AA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E8623F7" w14:textId="77777777" w:rsidR="00982AA8" w:rsidRDefault="00982AA8" w:rsidP="00982AA8"/>
    <w:p w14:paraId="6AD9AE4A" w14:textId="77777777" w:rsidR="00982AA8" w:rsidRPr="000C2AB4" w:rsidRDefault="00982AA8" w:rsidP="004301F3">
      <w:pPr>
        <w:spacing w:line="276" w:lineRule="auto"/>
        <w:jc w:val="both"/>
        <w:rPr>
          <w:rFonts w:ascii="Arial" w:hAnsi="Arial" w:cs="Arial"/>
          <w:b/>
          <w:noProof/>
          <w:sz w:val="22"/>
          <w:szCs w:val="22"/>
        </w:rPr>
      </w:pPr>
    </w:p>
    <w:p w14:paraId="3423A635" w14:textId="77777777" w:rsidR="004301F3" w:rsidRPr="000C2AB4" w:rsidRDefault="004301F3" w:rsidP="004301F3">
      <w:pPr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56AC03D0" w14:textId="58A199ED" w:rsidR="00E452F9" w:rsidRPr="000C2AB4" w:rsidRDefault="004301F3" w:rsidP="004301F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2AB4">
        <w:rPr>
          <w:rFonts w:ascii="Arial" w:hAnsi="Arial" w:cs="Arial"/>
          <w:b/>
          <w:noProof/>
          <w:sz w:val="22"/>
          <w:szCs w:val="22"/>
        </w:rPr>
        <w:t>Hinweis</w:t>
      </w:r>
      <w:r w:rsidRPr="000C2AB4">
        <w:rPr>
          <w:rFonts w:ascii="Arial" w:hAnsi="Arial" w:cs="Arial"/>
          <w:noProof/>
          <w:sz w:val="22"/>
          <w:szCs w:val="22"/>
        </w:rPr>
        <w:t xml:space="preserve">: Die Tabellenwerte geben Orientierungswerte </w:t>
      </w:r>
      <w:r w:rsidR="00523C28">
        <w:rPr>
          <w:rFonts w:ascii="Arial" w:hAnsi="Arial" w:cs="Arial"/>
          <w:noProof/>
          <w:sz w:val="22"/>
          <w:szCs w:val="22"/>
        </w:rPr>
        <w:t>an und können</w:t>
      </w:r>
      <w:r w:rsidRPr="000C2AB4">
        <w:rPr>
          <w:rFonts w:ascii="Arial" w:hAnsi="Arial" w:cs="Arial"/>
          <w:noProof/>
          <w:sz w:val="22"/>
          <w:szCs w:val="22"/>
        </w:rPr>
        <w:t xml:space="preserve"> im Einzelfall an die konkrete Auftragsgestaltung an</w:t>
      </w:r>
      <w:r w:rsidR="00523C28">
        <w:rPr>
          <w:rFonts w:ascii="Arial" w:hAnsi="Arial" w:cs="Arial"/>
          <w:noProof/>
          <w:sz w:val="22"/>
          <w:szCs w:val="22"/>
        </w:rPr>
        <w:t>gepasst werden</w:t>
      </w:r>
      <w:r w:rsidRPr="000C2AB4">
        <w:rPr>
          <w:rFonts w:ascii="Arial" w:hAnsi="Arial" w:cs="Arial"/>
          <w:noProof/>
          <w:sz w:val="22"/>
          <w:szCs w:val="22"/>
        </w:rPr>
        <w:t>.</w:t>
      </w:r>
    </w:p>
    <w:sectPr w:rsidR="00E452F9" w:rsidRPr="000C2AB4" w:rsidSect="005709A5">
      <w:headerReference w:type="default" r:id="rId8"/>
      <w:headerReference w:type="first" r:id="rId9"/>
      <w:pgSz w:w="11900" w:h="16840"/>
      <w:pgMar w:top="1560" w:right="1134" w:bottom="426" w:left="1418" w:header="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7BC8F" w14:textId="77777777" w:rsidR="00D70979" w:rsidRDefault="00D70979" w:rsidP="00396C6E">
      <w:r>
        <w:separator/>
      </w:r>
    </w:p>
  </w:endnote>
  <w:endnote w:type="continuationSeparator" w:id="0">
    <w:p w14:paraId="76146E6B" w14:textId="77777777" w:rsidR="00D70979" w:rsidRDefault="00D70979" w:rsidP="0039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ndesSerif Office">
    <w:altName w:val="Bundes Serif Offi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EE9A4" w14:textId="77777777" w:rsidR="00D70979" w:rsidRDefault="00D70979" w:rsidP="00396C6E">
      <w:r>
        <w:separator/>
      </w:r>
    </w:p>
  </w:footnote>
  <w:footnote w:type="continuationSeparator" w:id="0">
    <w:p w14:paraId="4F02D991" w14:textId="77777777" w:rsidR="00D70979" w:rsidRDefault="00D70979" w:rsidP="00396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6CF82" w14:textId="77777777" w:rsidR="00C24506" w:rsidRDefault="00C24506">
    <w:pPr>
      <w:pStyle w:val="Kopfzeile"/>
      <w:jc w:val="right"/>
    </w:pPr>
  </w:p>
  <w:p w14:paraId="3FA3568A" w14:textId="77777777" w:rsidR="00C24506" w:rsidRPr="004301F3" w:rsidRDefault="00C24506" w:rsidP="004301F3">
    <w:pPr>
      <w:pStyle w:val="Kopfzeile"/>
      <w:rPr>
        <w:rFonts w:ascii="Arial" w:hAnsi="Arial" w:cs="Arial"/>
        <w:u w:val="single"/>
      </w:rPr>
    </w:pPr>
  </w:p>
  <w:sdt>
    <w:sdtPr>
      <w:id w:val="-1511605883"/>
      <w:docPartObj>
        <w:docPartGallery w:val="Page Numbers (Top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783BD253" w14:textId="120067A5" w:rsidR="00C24506" w:rsidRPr="00751AE3" w:rsidRDefault="00C24506">
        <w:pPr>
          <w:pStyle w:val="Kopfzeile"/>
          <w:jc w:val="right"/>
          <w:rPr>
            <w:rFonts w:ascii="Verdana" w:hAnsi="Verdana"/>
            <w:sz w:val="20"/>
            <w:szCs w:val="20"/>
          </w:rPr>
        </w:pPr>
        <w:r w:rsidRPr="00751AE3">
          <w:rPr>
            <w:rFonts w:ascii="Verdana" w:hAnsi="Verdana"/>
            <w:sz w:val="20"/>
            <w:szCs w:val="20"/>
          </w:rPr>
          <w:fldChar w:fldCharType="begin"/>
        </w:r>
        <w:r w:rsidRPr="00751AE3">
          <w:rPr>
            <w:rFonts w:ascii="Verdana" w:hAnsi="Verdana"/>
            <w:sz w:val="20"/>
            <w:szCs w:val="20"/>
          </w:rPr>
          <w:instrText>PAGE   \* MERGEFORMAT</w:instrText>
        </w:r>
        <w:r w:rsidRPr="00751AE3">
          <w:rPr>
            <w:rFonts w:ascii="Verdana" w:hAnsi="Verdana"/>
            <w:sz w:val="20"/>
            <w:szCs w:val="20"/>
          </w:rPr>
          <w:fldChar w:fldCharType="separate"/>
        </w:r>
        <w:r w:rsidR="005F411E">
          <w:rPr>
            <w:rFonts w:ascii="Verdana" w:hAnsi="Verdana"/>
            <w:noProof/>
            <w:sz w:val="20"/>
            <w:szCs w:val="20"/>
          </w:rPr>
          <w:t>2</w:t>
        </w:r>
        <w:r w:rsidRPr="00751AE3">
          <w:rPr>
            <w:rFonts w:ascii="Verdana" w:hAnsi="Verdana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B3139" w14:textId="77777777" w:rsidR="00C24506" w:rsidRDefault="00C24506">
    <w:pPr>
      <w:pStyle w:val="Kopfzeile"/>
    </w:pPr>
  </w:p>
  <w:p w14:paraId="60AC410E" w14:textId="77777777" w:rsidR="00C24506" w:rsidRDefault="00C24506">
    <w:pPr>
      <w:pStyle w:val="Kopfzeile"/>
    </w:pPr>
  </w:p>
  <w:p w14:paraId="4B489EE9" w14:textId="4D6BF445" w:rsidR="00C24506" w:rsidRPr="007274D7" w:rsidRDefault="00C24506" w:rsidP="007274D7">
    <w:pPr>
      <w:pStyle w:val="Kopfzeile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58E7"/>
    <w:multiLevelType w:val="hybridMultilevel"/>
    <w:tmpl w:val="D1DA5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57890"/>
    <w:multiLevelType w:val="hybridMultilevel"/>
    <w:tmpl w:val="F8D21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43A91"/>
    <w:multiLevelType w:val="hybridMultilevel"/>
    <w:tmpl w:val="079C49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75A84"/>
    <w:multiLevelType w:val="hybridMultilevel"/>
    <w:tmpl w:val="FC8069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50"/>
    <w:rsid w:val="00043084"/>
    <w:rsid w:val="000C2AB4"/>
    <w:rsid w:val="000E0362"/>
    <w:rsid w:val="000E65AC"/>
    <w:rsid w:val="00102B4C"/>
    <w:rsid w:val="001B116C"/>
    <w:rsid w:val="001B5746"/>
    <w:rsid w:val="001C57D8"/>
    <w:rsid w:val="001E4FBD"/>
    <w:rsid w:val="00216D4B"/>
    <w:rsid w:val="002F28A3"/>
    <w:rsid w:val="00332390"/>
    <w:rsid w:val="00396C6E"/>
    <w:rsid w:val="0040656F"/>
    <w:rsid w:val="004301F3"/>
    <w:rsid w:val="00460F78"/>
    <w:rsid w:val="00523C28"/>
    <w:rsid w:val="005709A5"/>
    <w:rsid w:val="005A523A"/>
    <w:rsid w:val="005F411E"/>
    <w:rsid w:val="00600A71"/>
    <w:rsid w:val="00602352"/>
    <w:rsid w:val="00654F88"/>
    <w:rsid w:val="00682AC2"/>
    <w:rsid w:val="006B35C3"/>
    <w:rsid w:val="006C34AE"/>
    <w:rsid w:val="006F543B"/>
    <w:rsid w:val="0072173A"/>
    <w:rsid w:val="007274D7"/>
    <w:rsid w:val="0079486A"/>
    <w:rsid w:val="00800455"/>
    <w:rsid w:val="008867CC"/>
    <w:rsid w:val="009304F8"/>
    <w:rsid w:val="009438E9"/>
    <w:rsid w:val="00950ADB"/>
    <w:rsid w:val="0095684B"/>
    <w:rsid w:val="00966437"/>
    <w:rsid w:val="00982AA8"/>
    <w:rsid w:val="00984150"/>
    <w:rsid w:val="009868B5"/>
    <w:rsid w:val="00A32F3B"/>
    <w:rsid w:val="00A6690F"/>
    <w:rsid w:val="00A95E7D"/>
    <w:rsid w:val="00BF30AA"/>
    <w:rsid w:val="00C24506"/>
    <w:rsid w:val="00CC5905"/>
    <w:rsid w:val="00D36E53"/>
    <w:rsid w:val="00D50402"/>
    <w:rsid w:val="00D51C2B"/>
    <w:rsid w:val="00D70979"/>
    <w:rsid w:val="00E452F9"/>
    <w:rsid w:val="00E453DE"/>
    <w:rsid w:val="00E57E27"/>
    <w:rsid w:val="00F739FF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6BFD"/>
  <w15:chartTrackingRefBased/>
  <w15:docId w15:val="{577BE3B6-397A-4D8A-85FD-A1FE471B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4150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709A5"/>
    <w:pPr>
      <w:keepNext/>
      <w:keepLines/>
      <w:spacing w:before="24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41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4150"/>
    <w:rPr>
      <w:rFonts w:eastAsiaTheme="minorEastAsi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96C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6C6E"/>
    <w:rPr>
      <w:rFonts w:eastAsiaTheme="minorEastAsia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09A5"/>
    <w:rPr>
      <w:rFonts w:ascii="Arial" w:eastAsiaTheme="majorEastAsia" w:hAnsi="Arial" w:cstheme="majorBidi"/>
      <w:b/>
      <w:sz w:val="24"/>
      <w:szCs w:val="32"/>
      <w:lang w:eastAsia="de-DE"/>
    </w:rPr>
  </w:style>
  <w:style w:type="paragraph" w:customStyle="1" w:styleId="Default">
    <w:name w:val="Default"/>
    <w:rsid w:val="009438E9"/>
    <w:pPr>
      <w:autoSpaceDE w:val="0"/>
      <w:autoSpaceDN w:val="0"/>
      <w:adjustRightInd w:val="0"/>
      <w:spacing w:after="0" w:line="240" w:lineRule="auto"/>
    </w:pPr>
    <w:rPr>
      <w:rFonts w:ascii="BundesSerif Office" w:hAnsi="BundesSerif Office" w:cs="BundesSerif Office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36E5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7C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7CC"/>
    <w:rPr>
      <w:rFonts w:ascii="Segoe UI" w:eastAsiaTheme="minorEastAsia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67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67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67CC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67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67CC"/>
    <w:rPr>
      <w:rFonts w:eastAsiaTheme="minorEastAsia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E453D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453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estatis.de/DE/Themen/Wirtschaft/Preise/Erzeugerpreisindex-gewerbliche-Produkte/Publikationen/erzeugerpreise-artike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BD95B0D38B4E52822E25D3D7BB0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449C8-DBF7-4858-A257-5877D43C7595}"/>
      </w:docPartPr>
      <w:docPartBody>
        <w:p w:rsidR="00537523" w:rsidRDefault="000179AC" w:rsidP="000179AC">
          <w:pPr>
            <w:pStyle w:val="0ABD95B0D38B4E52822E25D3D7BB0648"/>
          </w:pPr>
          <w:r w:rsidRPr="00E7493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ndesSerif Office">
    <w:altName w:val="Bundes Serif Offi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AC"/>
    <w:rsid w:val="000179AC"/>
    <w:rsid w:val="00537523"/>
    <w:rsid w:val="00DC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79AC"/>
    <w:rPr>
      <w:color w:val="808080"/>
    </w:rPr>
  </w:style>
  <w:style w:type="paragraph" w:customStyle="1" w:styleId="0ABD95B0D38B4E52822E25D3D7BB0648">
    <w:name w:val="0ABD95B0D38B4E52822E25D3D7BB0648"/>
    <w:rsid w:val="000179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Landesbetrieb Mobilität Rheinland-Pfalz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Brand, Peter (LBM Zentrale)</dc:creator>
  <cp:keywords/>
  <dc:description/>
  <cp:lastModifiedBy>Schweikert, Franz-Josef (Ref. 8206)</cp:lastModifiedBy>
  <cp:revision>3</cp:revision>
  <dcterms:created xsi:type="dcterms:W3CDTF">2022-08-04T13:37:00Z</dcterms:created>
  <dcterms:modified xsi:type="dcterms:W3CDTF">2022-08-04T13:37:00Z</dcterms:modified>
</cp:coreProperties>
</file>